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SCHEDA PER LA VALUTAZIONE DEI TITOLI FINALIZZATA ALLA COMPILAZIONE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DELLA GRADUATORIA DI ISTITUTO PER L’INDIVIDUAZIONE DEI SOPRANNUMERARI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PERSONALE ATA A.S. 2024/25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Al  Dirigente Scolastico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 </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righ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_l_ sottoscritt_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nat_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provincia di ____ il _________________residente in  __________________________________________________________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preso codesto Istituto  dall’anno scolastico _________/________ profilo  _____________________________________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D.P.R. 28.12.2000, n. 445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(Testo unico delle disposizioni legislative e regolamentari in materia di documentazione amministrativa)  e successive modifiche ed integrazioni,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 di aver diritto al seguente punteggio: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ANZIANITÀ DI SERVIZIO (F):</w:t>
      </w:r>
    </w:p>
    <w:tbl>
      <w:tblPr>
        <w:tblStyle w:val="Table1"/>
        <w:tblW w:w="10630.0" w:type="dxa"/>
        <w:jc w:val="left"/>
        <w:tblInd w:w="-105.0" w:type="dxa"/>
        <w:tblLayout w:type="fixed"/>
        <w:tblLook w:val="0000"/>
      </w:tblPr>
      <w:tblGrid>
        <w:gridCol w:w="8859"/>
        <w:gridCol w:w="709"/>
        <w:gridCol w:w="1062"/>
        <w:tblGridChange w:id="0">
          <w:tblGrid>
            <w:gridCol w:w="8859"/>
            <w:gridCol w:w="709"/>
            <w:gridCol w:w="1062"/>
          </w:tblGrid>
        </w:tblGridChange>
      </w:tblGrid>
      <w:tr>
        <w:trPr>
          <w:cantSplit w:val="0"/>
          <w:tblHeader w:val="0"/>
        </w:trPr>
        <w:tc>
          <w:tcPr>
            <w:tcBorders>
              <w:top w:color="000000" w:space="0" w:sz="8" w:val="single"/>
              <w:left w:color="000000" w:space="0" w:sz="8" w:val="single"/>
            </w:tcBorders>
            <w:vAlign w:val="top"/>
          </w:tcPr>
          <w:p w:rsidR="00000000" w:rsidDel="00000000" w:rsidP="00000000" w:rsidRDefault="00000000" w:rsidRPr="00000000" w14:paraId="00000015">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SERVIZIO</w:t>
            </w:r>
          </w:p>
        </w:tc>
        <w:tc>
          <w:tcPr>
            <w:tcBorders>
              <w:top w:color="000000" w:space="0" w:sz="8" w:val="single"/>
              <w:left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all’Ufficio</w:t>
            </w:r>
            <w:r w:rsidDel="00000000" w:rsidR="00000000" w:rsidRPr="00000000">
              <w:rPr>
                <w:rtl w:val="0"/>
              </w:rPr>
            </w:r>
          </w:p>
        </w:tc>
      </w:tr>
      <w:tr>
        <w:trPr>
          <w:cantSplit w:val="0"/>
          <w:trHeight w:val="475" w:hRule="atLeast"/>
          <w:tblHeader w:val="0"/>
        </w:trPr>
        <w:tc>
          <w:tcPr>
            <w:tcBorders>
              <w:top w:color="000000" w:space="0" w:sz="4" w:val="single"/>
              <w:left w:color="000000" w:space="0" w:sz="8"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effettivamente prestato successivamente alla decorrenza giuridica della nomina nel profilo professionale di appartenenza (2) (a)……….….…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 x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 </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811" w:hRule="atLeast"/>
          <w:tblHeader w:val="0"/>
        </w:trPr>
        <w:tc>
          <w:tcPr>
            <w:tcBorders>
              <w:top w:color="000000" w:space="0" w:sz="4" w:val="single"/>
              <w:left w:color="000000" w:space="0" w:sz="8"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 x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390" w:hRule="atLeast"/>
          <w:tblHeader w:val="0"/>
        </w:trPr>
        <w:tc>
          <w:tcPr>
            <w:vMerge w:val="restart"/>
            <w:tcBorders>
              <w:top w:color="000000" w:space="0" w:sz="4" w:val="single"/>
              <w:left w:color="000000" w:space="0" w:sz="8" w:val="single"/>
              <w:bottom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non di ruolo o di altro servizio riconosciuto o riconoscibile (3) (11) (a)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primi 48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89"/>
              </w:tabs>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 x ciascuno dei restanti 2/3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315" w:hRule="atLeast"/>
          <w:tblHeader w:val="0"/>
        </w:trPr>
        <w:tc>
          <w:tcPr>
            <w:vMerge w:val="continue"/>
            <w:tcBorders>
              <w:top w:color="000000" w:space="0" w:sz="4" w:val="single"/>
              <w:left w:color="000000" w:space="0" w:sz="8" w:val="single"/>
              <w:bottom w:color="000000" w:space="0" w:sz="4" w:val="single"/>
            </w:tcBorders>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570" w:hRule="atLeast"/>
          <w:tblHeader w:val="0"/>
        </w:trPr>
        <w:tc>
          <w:tcPr>
            <w:vMerge w:val="restart"/>
            <w:tcBorders>
              <w:top w:color="000000" w:space="0" w:sz="4" w:val="single"/>
              <w:left w:color="000000" w:space="0" w:sz="8" w:val="single"/>
              <w:bottom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B1)  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primi 48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89"/>
              </w:tabs>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 x ciascuno dei restanti 2/3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8"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280" w:hRule="atLeast"/>
          <w:tblHeader w:val="0"/>
        </w:trPr>
        <w:tc>
          <w:tcPr>
            <w:vMerge w:val="continue"/>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450" w:hRule="atLeast"/>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ai 6 mesi di servizio di ruolo effettivamente prestato a qualsiasi titolo in Pubbliche Amministrazioni o negli Enti Locali (b)……………………..……………</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8"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618" w:hRule="atLeast"/>
          <w:tblHeader w:val="0"/>
        </w:trPr>
        <w:tc>
          <w:tcPr>
            <w:vMerge w:val="restart"/>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ogni anno intero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 servizio prestato nel profilo di appartenenza senza soluzione di continuità nella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scuola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 attuale titolarità (4) (11) (in aggiunta a quello previsto dalle lettere A) e B) (c) (d)</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entro il quinquennio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servizio in piccole isole il punteggio si raddoppia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8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il quinquennio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servizio in piccole isole il punteggio si raddoppia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 punti 12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  </w:t>
            </w:r>
            <w:r w:rsidDel="00000000" w:rsidR="00000000" w:rsidRPr="00000000">
              <w:rPr>
                <w:rtl w:val="0"/>
              </w:rPr>
            </w:r>
          </w:p>
          <w:p w:rsidR="00000000" w:rsidDel="00000000" w:rsidP="00000000" w:rsidRDefault="00000000" w:rsidRPr="00000000" w14:paraId="0000003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8"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250" w:hRule="atLeast"/>
          <w:tblHeader w:val="0"/>
        </w:trPr>
        <w:tc>
          <w:tcPr>
            <w:vMerge w:val="continue"/>
            <w:tcBorders>
              <w:top w:color="000000" w:space="0" w:sz="4" w:val="single"/>
              <w:left w:color="000000" w:space="0" w:sz="8" w:val="single"/>
              <w:bottom w:color="000000" w:space="0" w:sz="4" w:val="single"/>
            </w:tcBorders>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744" w:hRule="atLeast"/>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anno intero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 servizio di ruolo prestato nel profilo di appartenenza nella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sede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(comune) di attuale titolarità senza soluzione di continuità (4Bis) in aggiunta a quello previsto dalle lettere A) e B) e, per i periodi che non siano coincidenti, anche alla lettera D) (c) (valido solo per i trasferimenti d’ufficio)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coloro che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un triennio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è</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riconosciuto,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il predetto triennio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una tantum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un punteggio aggiuntivo a quello previsto dalle lettere A) e B) , C) e D) (e)…………..………………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punteggio viene riconosciuto anche a coloro che presentano domanda condizionata, in quanto soprannumerari; la richiesta, nel quinquennio, di rientro nella scuola di precedente titolarità fa maturare regolarmente il predetto punteggio aggiuntivo.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18" w:hRule="atLeast"/>
          <w:tblHeader w:val="0"/>
        </w:trPr>
        <w:tc>
          <w:tcPr>
            <w:tcBorders>
              <w:top w:color="000000" w:space="0" w:sz="4" w:val="single"/>
              <w:left w:color="000000" w:space="0" w:sz="8" w:val="single"/>
              <w:bottom w:color="000000" w:space="0" w:sz="8"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PUNTEGGIO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ANZIANITA’ DI SERVIZIO………………</w:t>
            </w:r>
            <w:r w:rsidDel="00000000" w:rsidR="00000000" w:rsidRPr="00000000">
              <w:rPr>
                <w:rtl w:val="0"/>
              </w:rPr>
            </w:r>
          </w:p>
        </w:tc>
        <w:tc>
          <w:tcPr>
            <w:tcBorders>
              <w:top w:color="000000" w:space="0" w:sz="4" w:val="single"/>
              <w:left w:color="000000" w:space="0" w:sz="4" w:val="single"/>
              <w:bottom w:color="000000" w:space="0" w:sz="8"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 ESIGENZE DI FAMIGLIA (4 ter) (5) (5 bis):</w:t>
      </w:r>
    </w:p>
    <w:tbl>
      <w:tblPr>
        <w:tblStyle w:val="Table2"/>
        <w:tblW w:w="10630.0" w:type="dxa"/>
        <w:jc w:val="left"/>
        <w:tblInd w:w="-105.0" w:type="dxa"/>
        <w:tblLayout w:type="fixed"/>
        <w:tblLook w:val="0000"/>
      </w:tblPr>
      <w:tblGrid>
        <w:gridCol w:w="8859"/>
        <w:gridCol w:w="709"/>
        <w:gridCol w:w="1062"/>
        <w:tblGridChange w:id="0">
          <w:tblGrid>
            <w:gridCol w:w="8859"/>
            <w:gridCol w:w="709"/>
            <w:gridCol w:w="1062"/>
          </w:tblGrid>
        </w:tblGridChange>
      </w:tblGrid>
      <w:tr>
        <w:trPr>
          <w:cantSplit w:val="0"/>
          <w:tblHeader w:val="0"/>
        </w:trPr>
        <w:tc>
          <w:tcPr>
            <w:tcBorders>
              <w:top w:color="000000" w:space="0" w:sz="8" w:val="single"/>
              <w:left w:color="000000" w:space="0" w:sz="8"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ESIGENZA</w:t>
            </w:r>
            <w:r w:rsidDel="00000000" w:rsidR="00000000" w:rsidRPr="00000000">
              <w:rPr>
                <w:rtl w:val="0"/>
              </w:rPr>
            </w:r>
          </w:p>
        </w:tc>
        <w:tc>
          <w:tcPr>
            <w:tcBorders>
              <w:top w:color="000000" w:space="0" w:sz="8" w:val="single"/>
              <w:left w:color="000000" w:space="0" w:sz="4"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ricongiungimento o riavvicinamento al coniuge ovvero, nel  caso di docenti senza coniuge o separato giudizialmente o consensualmente con atto omologato dal tribunale, per ricongiungimento o riavvicinamento ai genitori o ai figli  (5)…..................................................................................................................................................….</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24 </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ogni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figlio di età inferiore a sei anni (6)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figli n. ____</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ogni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figlio di età superiore ai sei anni, ma che non abbia superato il diciottesimo anno di età (6), ovvero per ogni figlio maggiorenne che risulti totalmente o permanentemente inabile a proficuo lavoro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figli n. ___</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la cura e l’assistenza dei figli minorati fisici, psichici o sensoriali, tossicodipendenti, ovvero del coniuge o del genitore totalmente e permanentemente inabili al lavoro che possono essere assistiti soltanto nel comune richiesto (7) (1) ecc…………………………………………………………………………………………………….……………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24</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PUNTEGGIO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ESIGENZE DI FAMIGLIA</w:t>
            </w:r>
            <w:r w:rsidDel="00000000" w:rsidR="00000000" w:rsidRPr="00000000">
              <w:rPr>
                <w:rtl w:val="0"/>
              </w:rPr>
            </w:r>
          </w:p>
        </w:tc>
        <w:tc>
          <w:tcPr>
            <w:tcBorders>
              <w:top w:color="000000" w:space="0" w:sz="4" w:val="single"/>
              <w:left w:color="000000" w:space="0" w:sz="4" w:val="single"/>
              <w:bottom w:color="000000" w:space="0" w:sz="8"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 TITOLI GENERALI:</w:t>
      </w:r>
      <w:r w:rsidDel="00000000" w:rsidR="00000000" w:rsidRPr="00000000">
        <w:rPr>
          <w:rtl w:val="0"/>
        </w:rPr>
      </w:r>
    </w:p>
    <w:tbl>
      <w:tblPr>
        <w:tblStyle w:val="Table3"/>
        <w:tblW w:w="10630.0" w:type="dxa"/>
        <w:jc w:val="left"/>
        <w:tblInd w:w="-105.0" w:type="dxa"/>
        <w:tblLayout w:type="fixed"/>
        <w:tblLook w:val="0000"/>
      </w:tblPr>
      <w:tblGrid>
        <w:gridCol w:w="8859"/>
        <w:gridCol w:w="709"/>
        <w:gridCol w:w="1062"/>
        <w:tblGridChange w:id="0">
          <w:tblGrid>
            <w:gridCol w:w="8859"/>
            <w:gridCol w:w="709"/>
            <w:gridCol w:w="1062"/>
          </w:tblGrid>
        </w:tblGridChange>
      </w:tblGrid>
      <w:tr>
        <w:trPr>
          <w:cantSplit w:val="0"/>
          <w:tblHeader w:val="0"/>
        </w:trPr>
        <w:tc>
          <w:tcPr>
            <w:tcBorders>
              <w:top w:color="000000" w:space="0" w:sz="8" w:val="single"/>
              <w:left w:color="000000" w:space="0" w:sz="8"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TITOLO</w:t>
            </w:r>
            <w:r w:rsidDel="00000000" w:rsidR="00000000" w:rsidRPr="00000000">
              <w:rPr>
                <w:rtl w:val="0"/>
              </w:rPr>
            </w:r>
          </w:p>
        </w:tc>
        <w:tc>
          <w:tcPr>
            <w:tcBorders>
              <w:top w:color="000000" w:space="0" w:sz="8" w:val="single"/>
              <w:left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l'inclusione nella graduatoria di merito di concorsi per esami per l'accesso al ruolo di appartenenza (9)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l'inclusione nella graduatoria di merito di concorsi per esami per l'accesso al ruolo di livello superiore a quello di appartenenza(10)…………………………………………………………………………………………………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TITOLI GENERALI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PUNTEGGIO</w:t>
            </w:r>
            <w:r w:rsidDel="00000000" w:rsidR="00000000" w:rsidRPr="00000000">
              <w:rPr>
                <w:rtl w:val="0"/>
              </w:rPr>
            </w:r>
          </w:p>
        </w:tc>
        <w:tc>
          <w:tcPr>
            <w:tcBorders>
              <w:top w:color="000000" w:space="0" w:sz="4" w:val="single"/>
              <w:left w:color="000000" w:space="0" w:sz="4" w:val="single"/>
              <w:bottom w:color="000000" w:space="0" w:sz="8"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Allega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90">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Data: __________________________                                                                          Firma_______________________________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servizio è riconosciuto sia al personale ATA già statale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a quello proveniente dagli Enti Locali. Ai direttori dei servizi generali ed amministrativi compete la valutazione anche del servizio effettivamente prestato successivamente alla decorrenza giuridica nella nomina nel profilo di responsabile amministrativo.</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servizio è riconosciuto sia al personale ATA già statale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a quello proveniente dagli Enti Locali: per quest’ultimo personale, ovviamente, non deve essere di nuovo valutato il servizio di cui alla lettera A) e B).</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Al personale transitato dagli Enti Locali allo Stato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compete il punteggio per la continuità di servizio prestato nel profilo di appartenenza per almeno un triennio nella scuola di attuale titolarità anche per il servizio prestato alle stesse condizioni quale dipendente degli Enti Locali.</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Il diritto all’attribuzione del punteggio deve essere attestato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apposita dichiarazione personale, nella quale si elencano gli anni in cui non si è presentata la domanda di mobilità volontaria in ambito provinciale, analoga al modello allegato all’O.M. sulla mobilità del personale.</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della maturazione una tantum del punteggio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è utile un triennio compreso nel periodo intercorrente tra le domande di mobilità per l’a.s. 2000/2001 e quelle per l’anno scolastico 2007/2008.</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le domande di mobilità per l’anno scolastico 2007/2008 si è, infatti, concluso il periodo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utile per l’acquisizione del punteggio aggiuntivo a seguito della maturazione del triennio.</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punteggio viene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inoltre,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riconosciuto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anche a coloro che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 suddetto periodo, hanno presentato in ambito provinciale: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domanda condizionata di trasferimento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quanto individuati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soprannumerari;</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domanda di rientro nella scuola di precedente titolarità nel quinquennio di fruizione del diritto alla precedenza di cui   ai punti II e IV dell’art. 7, comma 1 del CCNI.</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Nei riguardi del personale A.T.A. individuato soprannumerario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trasferito d’ufficio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Analogamente non perde il riconoscimento del punteggio aggiuntivo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personale trasferito d’ufficio o a domanda condizionata che nel periodo di cui sopra non chiede il rientro nella scuola di precedente titolarità.</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ogni caso la sola presentazione della domanda di mobilità, anche in ambito provinciale, non determina la perdita del punteggio aggiuntivo una volta che lo stesso è stato acquisito.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Vanno computati nell’anzianità di servizio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tutti gli effetti, i periodi di congedo retribuiti e non retribuiti disciplinati dal Decreto Legislativo 26.3.2001 n. 151 (Capo III – Congedo di maternità, Capo IV – Congedo di paternità, Capo V – Congedo parentale, Capo VII – Congedi per la malattia del figlio).</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 norma del D.P.R. 28.12.2000, n. 445</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l'interessato può comprovare con dichiarazione personale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 valutato il periodo coperto da decorrenza giuridica della nomina purché sia stato prestato effettivo servizio nello stesso profilo professionale. Sono comunque valutati con il punteggio previsto dalla presente voce i seguenti servizi:</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nel profilo di provenienza per il personale transitato nell'attuale profilo, a seguito di passaggio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nell’ambito della stessa qualifica o area ai sensi dell'art. 19, del D.P.R. 399/88 e dell'art. 38, del D.P.R. 209/87 e dell’art. 1 comma 2 lettera B della sequenza contrattuale del 25 luglio 2008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in profilo diverso da quello di appartenenza a seguito di utilizzazione o assegnazione provvisoria;</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in scuola diversa da quella di titolarità da parte del personale responsabile amministrativo o assistente amministrativo a seguito di utilizzazione, ai sensi dell’art. 11 bis del C.C.N.I. 13.6.2005 e successivi, per la sostituzione del DSGA;</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dal personale inidoneo durante il periodo di collocamento fuori ruolo ai sensi dell’art. 23, comma 5, del C.C.N.L. sottoscritto il 4 agosto 1995 in mansioni parziali del profilo di appartenenza o in altro profilo comunque coerenti;</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l’attribuzione del punteggio relativo al servizio effettivamente prestato nelle scuole o istituti situati nelle piccole isole si prescinde dal requisito della residenza in sede;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l'attribuzione dei punteggi previsti per l'anzianità di servizio - punto I, lettere A), B), C),</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agli insegnanti elementari collocati permanentemente fuori ruolo,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ai sensi dell’art. 21, della legge 9.8.1978,n. 463 è valutato il servizio prestato nella carriera di appartenenza, sia in qualità di insegnante elementare sia con mansioni di responsabile amministrativo;</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Tali servizi sono riconosciuti nelle lettere A) e B);</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ogni anno prestato nei Paesi in via di sviluppo il punteggio è raddoppiato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La valutazione del servizio pre-ruolo,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il punteggio previsto dalla presente voce vanno valutati i seguenti servizi o periodi:</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di ruolo prestato in qualità di docente;</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 calcolo del punteggio di perdente posto si prescinde dal computo del triennio.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precisa che per l'attribuzione del punteggio devono concorrere, per gli anni considerati, la titolarità nel profilo di attuale appartenenza (per gli assistenti tecnici indipendentemente dall’area professionale di titolarità)</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Non interrompe, altresì, la continuità del servizio,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l’utilizzazione per la sostituzione del DSGA,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 sensi dell’art. 14  del CCNI. 11.09.2014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 parte del personale responsabile amministrativo o assistente amministrativo in scuola diversa da quella di titolarità.</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Nei riguardi del personale A.T.A. soprannumerario trasferito d’ufficio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(4Bis)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Si precisa che il punteggio in questione va attribuito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(4Ter)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della formulazione della graduatoria per l’individuazione del soprannumerario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esigenze di famiglia, da considerarsi in questo caso come esigenze di non allontanamento dalla scuola e dal comune di attuale titolarità, sono valutate nella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seguente maniera:</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lettera b) e lettera c) valgono sempre;</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lettera d) (cura e assistenza dei figli minorati, etc..) vale quando il comune in cui può essere prestata l’assistenza coincide con il comune di titolarità del soprannumerario oppure è ad esso viciniore, qualora nel comune medesimo non vi siano sedi scolastiche richiedibili.</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punteggio così calcolato viene utilizzato anche nelle operazioni di trasferimento d’ufficio del soprannumerario.</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Il punteggio spetta per il comune di residenza del familiare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bis) Per i soli trasferimenti a domanda, le situazioni di cui al presente titolo non si valutano per i trasferimenti nell’ambito della stessa sede (per sede si intende “comune”).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Il punteggio va attribuito anche per i figli che compiono i 6 anni o i 18 anni tra il 1° gennaio e il 31 dicembre dell'anno in cui si effettua il trasferimento.</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La valutazione e' attribuita nei seguenti casi: </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figlio minorato ovvero coniuge, o genitore, ricoverati permanentemente in istituto di cura;</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figlio minorato, ovvero coniuge, o genitore, bisognosi di cure continuative presso un istituto di cura tali da comportare la necessità di risiedere nella sede dell'istituto medesimo.</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Per l'attribuzione del punteggio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della L. n. 124/99.</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Il servizio prestato in qualità di incaricato ex art. 5 dell’Accordo ARAN – OOSS 8.3.2002 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58, del CCNL 24.7.2003 e ex art. 59 del CCNL del 29/11/2007, è da valutare con lo stesso punteggio previsto per il servizio non di ruolo. Tale servizio, qualora abbia avuto una durata superiore a 180 gg, interrompe la continuità.</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851" w:top="765" w:left="851" w:right="567"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2"/>
      <w:numFmt w:val="bullet"/>
      <w:lvlText w:val="-"/>
      <w:lvlJc w:val="left"/>
      <w:pPr>
        <w:ind w:left="360" w:hanging="360"/>
      </w:pPr>
      <w:rPr>
        <w:rFonts w:ascii="Times New Roman" w:cs="Times New Roman" w:eastAsia="Times New Roman" w:hAnsi="Times New Roman"/>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it-IT"/>
    </w:rPr>
  </w:style>
  <w:style w:type="paragraph" w:styleId="Titolo10">
    <w:name w:val="Titolo 1"/>
    <w:basedOn w:val="Normale"/>
    <w:next w:val="Normale"/>
    <w:autoRedefine w:val="0"/>
    <w:hidden w:val="0"/>
    <w:qFormat w:val="0"/>
    <w:pPr>
      <w:keepNext w:val="1"/>
      <w:numPr>
        <w:ilvl w:val="0"/>
        <w:numId w:val="1"/>
      </w:numPr>
      <w:suppressAutoHyphens w:val="0"/>
      <w:autoSpaceDE w:val="0"/>
      <w:spacing w:line="1" w:lineRule="atLeast"/>
      <w:ind w:leftChars="-1" w:rightChars="0" w:firstLineChars="-1"/>
      <w:jc w:val="right"/>
      <w:textDirection w:val="btLr"/>
      <w:textAlignment w:val="top"/>
      <w:outlineLvl w:val="0"/>
    </w:pPr>
    <w:rPr>
      <w:b w:val="1"/>
      <w:bCs w:val="1"/>
      <w:w w:val="100"/>
      <w:position w:val="-1"/>
      <w:u w:val="single"/>
      <w:effect w:val="none"/>
      <w:vertAlign w:val="baseline"/>
      <w:cs w:val="0"/>
      <w:em w:val="none"/>
      <w:lang w:bidi="ar-SA" w:eastAsia="zh-CN" w:val="it-IT"/>
    </w:rPr>
  </w:style>
  <w:style w:type="paragraph" w:styleId="Titolo2">
    <w:name w:val="Titolo 2"/>
    <w:basedOn w:val="Normale"/>
    <w:next w:val="Normale"/>
    <w:autoRedefine w:val="0"/>
    <w:hidden w:val="0"/>
    <w:qFormat w:val="0"/>
    <w:pPr>
      <w:keepNext w:val="1"/>
      <w:numPr>
        <w:ilvl w:val="1"/>
        <w:numId w:val="1"/>
      </w:numPr>
      <w:suppressAutoHyphens w:val="0"/>
      <w:autoSpaceDE w:val="0"/>
      <w:spacing w:line="1" w:lineRule="atLeast"/>
      <w:ind w:leftChars="-1" w:rightChars="0" w:firstLineChars="-1"/>
      <w:textDirection w:val="btLr"/>
      <w:textAlignment w:val="top"/>
      <w:outlineLvl w:val="1"/>
    </w:pPr>
    <w:rPr>
      <w:b w:val="1"/>
      <w:bCs w:val="1"/>
      <w:w w:val="100"/>
      <w:position w:val="-1"/>
      <w:effect w:val="none"/>
      <w:vertAlign w:val="baseline"/>
      <w:cs w:val="0"/>
      <w:em w:val="none"/>
      <w:lang w:bidi="ar-SA" w:eastAsia="zh-CN" w:val="it-IT"/>
    </w:rPr>
  </w:style>
  <w:style w:type="paragraph" w:styleId="Titolo3">
    <w:name w:val="Titolo 3"/>
    <w:basedOn w:val="Normale"/>
    <w:next w:val="Normale"/>
    <w:autoRedefine w:val="0"/>
    <w:hidden w:val="0"/>
    <w:qFormat w:val="0"/>
    <w:pPr>
      <w:keepNext w:val="1"/>
      <w:numPr>
        <w:ilvl w:val="2"/>
        <w:numId w:val="1"/>
      </w:numPr>
      <w:suppressAutoHyphens w:val="0"/>
      <w:autoSpaceDE w:val="0"/>
      <w:spacing w:line="1" w:lineRule="atLeast"/>
      <w:ind w:leftChars="-1" w:rightChars="0" w:firstLineChars="-1"/>
      <w:textDirection w:val="btLr"/>
      <w:textAlignment w:val="top"/>
      <w:outlineLvl w:val="2"/>
    </w:pPr>
    <w:rPr>
      <w:b w:val="1"/>
      <w:bCs w:val="1"/>
      <w:w w:val="100"/>
      <w:position w:val="-1"/>
      <w:sz w:val="16"/>
      <w:szCs w:val="16"/>
      <w:effect w:val="none"/>
      <w:vertAlign w:val="baseline"/>
      <w:cs w:val="0"/>
      <w:em w:val="none"/>
      <w:lang w:bidi="ar-SA" w:eastAsia="zh-CN" w:val="it-IT"/>
    </w:rPr>
  </w:style>
  <w:style w:type="paragraph" w:styleId="Titolo4">
    <w:name w:val="Titolo 4"/>
    <w:basedOn w:val="Normale"/>
    <w:next w:val="Normale"/>
    <w:autoRedefine w:val="0"/>
    <w:hidden w:val="0"/>
    <w:qFormat w:val="0"/>
    <w:pPr>
      <w:keepNext w:val="1"/>
      <w:numPr>
        <w:ilvl w:val="3"/>
        <w:numId w:val="1"/>
      </w:numPr>
      <w:suppressAutoHyphens w:val="0"/>
      <w:autoSpaceDE w:val="0"/>
      <w:spacing w:line="1" w:lineRule="atLeast"/>
      <w:ind w:leftChars="-1" w:rightChars="0" w:firstLineChars="-1"/>
      <w:textDirection w:val="btLr"/>
      <w:textAlignment w:val="top"/>
      <w:outlineLvl w:val="3"/>
    </w:pPr>
    <w:rPr>
      <w:b w:val="1"/>
      <w:bCs w:val="1"/>
      <w:w w:val="100"/>
      <w:position w:val="-1"/>
      <w:sz w:val="18"/>
      <w:szCs w:val="18"/>
      <w:effect w:val="none"/>
      <w:vertAlign w:val="baseline"/>
      <w:cs w:val="0"/>
      <w:em w:val="none"/>
      <w:lang w:bidi="ar-SA" w:eastAsia="zh-CN" w:val="it-IT"/>
    </w:rPr>
  </w:style>
  <w:style w:type="paragraph" w:styleId="Titolo5">
    <w:name w:val="Titolo 5"/>
    <w:basedOn w:val="Normale"/>
    <w:next w:val="Normale"/>
    <w:autoRedefine w:val="0"/>
    <w:hidden w:val="0"/>
    <w:qFormat w:val="0"/>
    <w:pPr>
      <w:keepNext w:val="1"/>
      <w:numPr>
        <w:ilvl w:val="4"/>
        <w:numId w:val="1"/>
      </w:numPr>
      <w:suppressAutoHyphens w:val="0"/>
      <w:autoSpaceDE w:val="0"/>
      <w:spacing w:line="1" w:lineRule="atLeast"/>
      <w:ind w:leftChars="-1" w:rightChars="0" w:firstLineChars="-1"/>
      <w:textDirection w:val="btLr"/>
      <w:textAlignment w:val="top"/>
      <w:outlineLvl w:val="4"/>
    </w:pPr>
    <w:rPr>
      <w:b w:val="1"/>
      <w:bCs w:val="1"/>
      <w:w w:val="100"/>
      <w:position w:val="-1"/>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Symbol" w:hAnsi="Times New Roman" w:hint="default"/>
      <w:w w:val="100"/>
      <w:position w:val="-1"/>
      <w:sz w:val="18"/>
      <w:szCs w:val="18"/>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b w:val="0"/>
      <w:bCs w:val="0"/>
      <w:i w:val="0"/>
      <w:iCs w:val="0"/>
      <w:w w:val="100"/>
      <w:position w:val="-1"/>
      <w:sz w:val="20"/>
      <w:szCs w:val="20"/>
      <w:effect w:val="none"/>
      <w:vertAlign w:val="baseline"/>
      <w:cs w:val="0"/>
      <w:em w:val="none"/>
      <w:lang/>
    </w:rPr>
  </w:style>
  <w:style w:type="character" w:styleId="WW8Num7z0">
    <w:name w:val="WW8Num7z0"/>
    <w:next w:val="WW8Num7z0"/>
    <w:autoRedefine w:val="0"/>
    <w:hidden w:val="0"/>
    <w:qFormat w:val="0"/>
    <w:rPr>
      <w:rFonts w:ascii="Wingdings" w:cs="Wingdings" w:hAnsi="Wingdings"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Wingdings" w:cs="Wingdings" w:hAnsi="Wingdings" w:hint="default"/>
      <w:w w:val="100"/>
      <w:position w:val="-1"/>
      <w:sz w:val="18"/>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sz w:val="18"/>
      <w:szCs w:val="18"/>
      <w:effect w:val="none"/>
      <w:vertAlign w:val="baseline"/>
      <w:cs w:val="0"/>
      <w:em w:val="none"/>
      <w:lang/>
    </w:rPr>
  </w:style>
  <w:style w:type="character" w:styleId="WW8Num13z0">
    <w:name w:val="WW8Num13z0"/>
    <w:next w:val="WW8Num13z0"/>
    <w:autoRedefine w:val="0"/>
    <w:hidden w:val="0"/>
    <w:qFormat w:val="0"/>
    <w:rPr>
      <w:b w:val="1"/>
      <w:bCs w:val="1"/>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b w:val="0"/>
      <w:bCs w:val="0"/>
      <w:i w:val="0"/>
      <w:iCs w:val="0"/>
      <w:w w:val="100"/>
      <w:position w:val="-1"/>
      <w:sz w:val="20"/>
      <w:szCs w:val="20"/>
      <w:effect w:val="none"/>
      <w:vertAlign w:val="baseline"/>
      <w:cs w:val="0"/>
      <w:em w:val="none"/>
      <w:lang/>
    </w:rPr>
  </w:style>
  <w:style w:type="character" w:styleId="WW8Num16z0">
    <w:name w:val="WW8Num16z0"/>
    <w:next w:val="WW8Num16z0"/>
    <w:autoRedefine w:val="0"/>
    <w:hidden w:val="0"/>
    <w:qFormat w:val="0"/>
    <w:rPr>
      <w:b w:val="1"/>
      <w:bCs w:val="1"/>
      <w:w w:val="100"/>
      <w:position w:val="-1"/>
      <w:effect w:val="none"/>
      <w:vertAlign w:val="baseline"/>
      <w:cs w:val="0"/>
      <w:em w:val="none"/>
      <w:lang/>
    </w:rPr>
  </w:style>
  <w:style w:type="character" w:styleId="WW-Car.predefinitoparagrafo">
    <w:name w:val="WW-Car. predefinito paragrafo"/>
    <w:next w:val="WW-Car.predefinitoparagrafo"/>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Cambria" w:cs="Times New Roman" w:eastAsia="Times New Roman" w:hAnsi="Cambria"/>
      <w:b w:val="1"/>
      <w:bCs w:val="1"/>
      <w:w w:val="100"/>
      <w:kern w:val="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CorpodeltestoCarattere">
    <w:name w:val="Corpo del testo Carattere"/>
    <w:next w:val="CorpodeltestoCarattere"/>
    <w:autoRedefine w:val="0"/>
    <w:hidden w:val="0"/>
    <w:qFormat w:val="0"/>
    <w:rPr>
      <w:w w:val="100"/>
      <w:position w:val="-1"/>
      <w:sz w:val="20"/>
      <w:szCs w:val="20"/>
      <w:effect w:val="none"/>
      <w:vertAlign w:val="baseline"/>
      <w:cs w:val="0"/>
      <w:em w:val="none"/>
      <w:lang/>
    </w:rPr>
  </w:style>
  <w:style w:type="character" w:styleId="TitoloCarattere">
    <w:name w:val="Titolo Carattere"/>
    <w:next w:val="TitoloCarattere"/>
    <w:autoRedefine w:val="0"/>
    <w:hidden w:val="0"/>
    <w:qFormat w:val="0"/>
    <w:rPr>
      <w:rFonts w:ascii="Cambria" w:cs="Times New Roman" w:eastAsia="Times New Roman" w:hAnsi="Cambria"/>
      <w:b w:val="1"/>
      <w:bCs w:val="1"/>
      <w:w w:val="100"/>
      <w:kern w:val="2"/>
      <w:position w:val="-1"/>
      <w:sz w:val="32"/>
      <w:szCs w:val="32"/>
      <w:effect w:val="none"/>
      <w:vertAlign w:val="baseline"/>
      <w:cs w:val="0"/>
      <w:em w:val="none"/>
      <w:lang/>
    </w:rPr>
  </w:style>
  <w:style w:type="character" w:styleId="Corpodeltesto2Carattere">
    <w:name w:val="Corpo del testo 2 Carattere"/>
    <w:next w:val="Corpodeltesto2Carattere"/>
    <w:autoRedefine w:val="0"/>
    <w:hidden w:val="0"/>
    <w:qFormat w:val="0"/>
    <w:rPr>
      <w:w w:val="100"/>
      <w:position w:val="-1"/>
      <w:sz w:val="20"/>
      <w:szCs w:val="20"/>
      <w:effect w:val="none"/>
      <w:vertAlign w:val="baseline"/>
      <w:cs w:val="0"/>
      <w:em w:val="none"/>
      <w:lang/>
    </w:rPr>
  </w:style>
  <w:style w:type="character" w:styleId="Corpodeltesto3Carattere">
    <w:name w:val="Corpo del testo 3 Carattere"/>
    <w:next w:val="Corpodeltesto3Carattere"/>
    <w:autoRedefine w:val="0"/>
    <w:hidden w:val="0"/>
    <w:qFormat w:val="0"/>
    <w:rPr>
      <w:w w:val="100"/>
      <w:position w:val="-1"/>
      <w:sz w:val="16"/>
      <w:szCs w:val="16"/>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0"/>
      <w:szCs w:val="20"/>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character" w:styleId="SottotitoloCarattere">
    <w:name w:val="Sottotitolo Carattere"/>
    <w:next w:val="SottotitoloCarattere"/>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sz w:val="20"/>
      <w:szCs w:val="20"/>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Titolo1">
    <w:name w:val="Titolo1"/>
    <w:basedOn w:val="Normale"/>
    <w:next w:val="Sottotitolo"/>
    <w:autoRedefine w:val="0"/>
    <w:hidden w:val="0"/>
    <w:qFormat w:val="0"/>
    <w:pPr>
      <w:suppressAutoHyphens w:val="0"/>
      <w:autoSpaceDE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sz w:val="18"/>
      <w:szCs w:val="18"/>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sz w:val="18"/>
      <w:szCs w:val="18"/>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autoSpaceDE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it-IT"/>
    </w:rPr>
  </w:style>
  <w:style w:type="paragraph" w:styleId="Intestazione1">
    <w:name w:val="Intestazione1"/>
    <w:basedOn w:val="Normale"/>
    <w:next w:val="Corpotesto"/>
    <w:autoRedefine w:val="0"/>
    <w:hidden w:val="0"/>
    <w:qFormat w:val="0"/>
    <w:pPr>
      <w:keepNext w:val="1"/>
      <w:suppressAutoHyphens w:val="0"/>
      <w:autoSpaceDE w:val="0"/>
      <w:spacing w:after="120" w:before="240" w:line="1" w:lineRule="atLeast"/>
      <w:ind w:leftChars="-1" w:rightChars="0" w:firstLineChars="-1"/>
      <w:textDirection w:val="btLr"/>
      <w:textAlignment w:val="top"/>
      <w:outlineLvl w:val="0"/>
    </w:pPr>
    <w:rPr>
      <w:rFonts w:ascii="Arial" w:cs="Mangal" w:eastAsia="SimSun" w:hAnsi="Arial"/>
      <w:w w:val="100"/>
      <w:position w:val="-1"/>
      <w:sz w:val="28"/>
      <w:szCs w:val="28"/>
      <w:effect w:val="none"/>
      <w:vertAlign w:val="baseline"/>
      <w:cs w:val="0"/>
      <w:em w:val="none"/>
      <w:lang w:bidi="ar-SA" w:eastAsia="zh-CN" w:val="it-IT"/>
    </w:rPr>
  </w:style>
  <w:style w:type="paragraph" w:styleId="Didascalia1">
    <w:name w:val="Didascalia1"/>
    <w:basedOn w:val="Normale"/>
    <w:next w:val="Didascalia1"/>
    <w:autoRedefine w:val="0"/>
    <w:hidden w:val="0"/>
    <w:qFormat w:val="0"/>
    <w:pPr>
      <w:suppressLineNumbers w:val="1"/>
      <w:suppressAutoHyphens w:val="0"/>
      <w:autoSpaceDE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Sottotitolo">
    <w:name w:val="Sottotitolo"/>
    <w:basedOn w:val="Normale"/>
    <w:next w:val="Corpotesto"/>
    <w:autoRedefine w:val="0"/>
    <w:hidden w:val="0"/>
    <w:qFormat w:val="0"/>
    <w:pPr>
      <w:suppressAutoHyphens w:val="0"/>
      <w:autoSpaceDE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zh-CN" w:val="it-IT"/>
    </w:rPr>
  </w:style>
  <w:style w:type="paragraph" w:styleId="Corpodeltesto21">
    <w:name w:val="Corpo del testo 21"/>
    <w:basedOn w:val="Normale"/>
    <w:next w:val="Corpodeltesto21"/>
    <w:autoRedefine w:val="0"/>
    <w:hidden w:val="0"/>
    <w:qFormat w:val="0"/>
    <w:pPr>
      <w:keepNext w:val="1"/>
      <w:keepLines w:val="1"/>
      <w:suppressAutoHyphens w:val="0"/>
      <w:autoSpaceDE w:val="0"/>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zh-CN" w:val="it-IT"/>
    </w:rPr>
  </w:style>
  <w:style w:type="paragraph" w:styleId="testo1">
    <w:name w:val="testo1"/>
    <w:basedOn w:val="Normale"/>
    <w:next w:val="testo1"/>
    <w:autoRedefine w:val="0"/>
    <w:hidden w:val="0"/>
    <w:qFormat w:val="0"/>
    <w:pPr>
      <w:suppressAutoHyphens w:val="0"/>
      <w:autoSpaceDE w:val="0"/>
      <w:spacing w:line="1" w:lineRule="atLeast"/>
      <w:ind w:left="567" w:right="0" w:leftChars="-1" w:rightChars="0" w:firstLine="0" w:firstLineChars="-1"/>
      <w:jc w:val="both"/>
      <w:textDirection w:val="btLr"/>
      <w:textAlignment w:val="top"/>
      <w:outlineLvl w:val="0"/>
    </w:pPr>
    <w:rPr>
      <w:w w:val="100"/>
      <w:position w:val="-1"/>
      <w:effect w:val="none"/>
      <w:vertAlign w:val="baseline"/>
      <w:cs w:val="0"/>
      <w:em w:val="none"/>
      <w:lang w:bidi="ar-SA" w:eastAsia="zh-CN" w:val="it-IT"/>
    </w:rPr>
  </w:style>
  <w:style w:type="paragraph" w:styleId="Corpodeltesto31">
    <w:name w:val="Corpo del testo 31"/>
    <w:basedOn w:val="Normale"/>
    <w:next w:val="Corpodeltesto31"/>
    <w:autoRedefine w:val="0"/>
    <w:hidden w:val="0"/>
    <w:qFormat w:val="0"/>
    <w:pPr>
      <w:suppressAutoHyphens w:val="0"/>
      <w:autoSpaceDE w:val="0"/>
      <w:spacing w:line="1" w:lineRule="atLeast"/>
      <w:ind w:left="0" w:right="84" w:leftChars="-1" w:rightChars="0" w:firstLine="0" w:firstLineChars="-1"/>
      <w:jc w:val="both"/>
      <w:textDirection w:val="btLr"/>
      <w:textAlignment w:val="top"/>
      <w:outlineLvl w:val="0"/>
    </w:pPr>
    <w:rPr>
      <w:w w:val="100"/>
      <w:position w:val="-1"/>
      <w:sz w:val="22"/>
      <w:szCs w:val="22"/>
      <w:effect w:val="none"/>
      <w:vertAlign w:val="baseline"/>
      <w:cs w:val="0"/>
      <w:em w:val="none"/>
      <w:lang w:bidi="ar-SA" w:eastAsia="zh-CN" w:val="it-IT"/>
    </w:rPr>
  </w:style>
  <w:style w:type="paragraph" w:styleId="BodyText32">
    <w:name w:val="Body Text 32"/>
    <w:basedOn w:val="Normale"/>
    <w:next w:val="BodyText32"/>
    <w:autoRedefine w:val="0"/>
    <w:hidden w:val="0"/>
    <w:qFormat w:val="0"/>
    <w:pPr>
      <w:suppressAutoHyphens w:val="0"/>
      <w:autoSpaceDE w:val="0"/>
      <w:spacing w:line="1" w:lineRule="atLeast"/>
      <w:ind w:left="0" w:right="84" w:leftChars="-1" w:rightChars="0" w:firstLine="0" w:firstLineChars="-1"/>
      <w:jc w:val="both"/>
      <w:textDirection w:val="btLr"/>
      <w:textAlignment w:val="top"/>
      <w:outlineLvl w:val="0"/>
    </w:pPr>
    <w:rPr>
      <w:w w:val="100"/>
      <w:position w:val="-1"/>
      <w:effect w:val="none"/>
      <w:vertAlign w:val="baseline"/>
      <w:cs w:val="0"/>
      <w:em w:val="none"/>
      <w:lang w:bidi="ar-SA" w:eastAsia="zh-CN"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it-IT"/>
    </w:rPr>
  </w:style>
  <w:style w:type="paragraph" w:styleId="Sommario6">
    <w:name w:val="Sommario 6"/>
    <w:basedOn w:val="Normale"/>
    <w:next w:val="Normale"/>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zh-CN" w:val="it-IT"/>
    </w:rPr>
  </w:style>
  <w:style w:type="paragraph" w:styleId="Testodelblocco1">
    <w:name w:val="Testo del blocco1"/>
    <w:basedOn w:val="Normale"/>
    <w:next w:val="Testodelblocco1"/>
    <w:autoRedefine w:val="0"/>
    <w:hidden w:val="0"/>
    <w:qFormat w:val="0"/>
    <w:pPr>
      <w:suppressAutoHyphens w:val="0"/>
      <w:autoSpaceDE w:val="0"/>
      <w:spacing w:line="1" w:lineRule="atLeast"/>
      <w:ind w:left="426" w:right="567" w:leftChars="-1" w:rightChars="0" w:hanging="426" w:firstLineChars="-1"/>
      <w:textDirection w:val="btLr"/>
      <w:textAlignment w:val="top"/>
      <w:outlineLvl w:val="0"/>
    </w:pPr>
    <w:rPr>
      <w:w w:val="100"/>
      <w:position w:val="-1"/>
      <w:sz w:val="18"/>
      <w:szCs w:val="18"/>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autoSpaceDE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autoSpaceDE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suppressLineNumbers w:val="1"/>
      <w:suppressAutoHyphens w:val="0"/>
      <w:autoSpaceDE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zh-CN" w:val="it-IT"/>
    </w:rPr>
  </w:style>
  <w:style w:type="paragraph" w:styleId="Contenutocornice">
    <w:name w:val="Contenuto cornice"/>
    <w:basedOn w:val="Corpotesto"/>
    <w:next w:val="Contenutocornice"/>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sz w:val="18"/>
      <w:szCs w:val="18"/>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autoSpaceDE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qbmizOHjEyTpJdZYvGdUDyKLQ==">CgMxLjA4AHIhMXNQNFJldVhjeWxYMnVlMHoxX21YcVd1RkVyZ1NXOW56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1995-11-21T16:41:00Z</dcterms:created>
  <dc:creator>UTENTE</dc:creator>
</cp:coreProperties>
</file>